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OLE_LINK6"/>
      <w:bookmarkStart w:id="1" w:name="OLE_LINK5"/>
      <w:r>
        <w:rPr>
          <w:rFonts w:hint="eastAsia" w:ascii="Arial" w:hAnsi="Arial" w:eastAsia="宋体" w:cs="Times New Roman"/>
          <w:b/>
          <w:bCs/>
          <w:sz w:val="24"/>
          <w:szCs w:val="24"/>
          <w:lang w:val="en-GB"/>
        </w:rPr>
        <w:t>3GPP TSG-RAN WG4 Meeting #94</w:t>
      </w:r>
      <w:r>
        <w:rPr>
          <w:rFonts w:hint="eastAsia" w:ascii="Arial" w:hAnsi="Arial" w:eastAsia="宋体"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R4-2000051</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hint="eastAsia" w:ascii="Arial" w:hAnsi="Arial" w:eastAsia="宋体" w:cs="Times New Roman"/>
          <w:b/>
          <w:bCs/>
          <w:sz w:val="24"/>
          <w:szCs w:val="24"/>
          <w:lang w:val="en-US" w:eastAsia="zh-CN"/>
        </w:rPr>
        <w:t>Online</w:t>
      </w:r>
      <w:r>
        <w:rPr>
          <w:rFonts w:hint="eastAsia" w:ascii="Arial" w:hAnsi="Arial" w:eastAsia="宋体" w:cs="Times New Roman"/>
          <w:b/>
          <w:bCs/>
          <w:sz w:val="24"/>
          <w:szCs w:val="24"/>
          <w:lang w:val="en-GB"/>
        </w:rPr>
        <w:t>, 24 - 28 February, 2020</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w:t>
      </w:r>
      <w:r>
        <w:rPr>
          <w:rFonts w:hint="eastAsia" w:ascii="Arial" w:hAnsi="Arial" w:eastAsia="Calibri" w:cs="Arial"/>
          <w:b/>
          <w:bCs/>
          <w:sz w:val="24"/>
          <w:lang w:val="en-GB"/>
        </w:rPr>
        <w:t>efinition of macro and micro IAB nodes</w:t>
      </w:r>
      <w:r>
        <w:rPr>
          <w:rFonts w:hint="eastAsia" w:ascii="Arial" w:hAnsi="Arial" w:eastAsia="宋体" w:cs="Arial"/>
          <w:b/>
          <w:bCs/>
          <w:sz w:val="24"/>
          <w:lang w:val="en-US" w:eastAsia="zh-CN"/>
        </w:rPr>
        <w:t xml:space="preserve"> from RRM perspective</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8.5.5</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sz w:val="22"/>
          <w:szCs w:val="22"/>
          <w:lang w:val="en-US" w:eastAsia="zh-CN"/>
        </w:rPr>
        <w:t>In the plenary meeting RAN #86, a way forward was agreed [1] in which companies agreed to define different types of IAB nodes and deployment in RAN4.</w:t>
      </w:r>
    </w:p>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r>
        <w:rPr>
          <w:rFonts w:hint="eastAsia" w:eastAsia="宋体"/>
          <w:sz w:val="22"/>
          <w:szCs w:val="22"/>
          <w:lang w:val="en-US" w:eastAsia="zh-CN"/>
        </w:rPr>
        <w:t xml:space="preserve"> </w:t>
      </w:r>
    </w:p>
    <w:tbl>
      <w:tblPr>
        <w:tblStyle w:val="22"/>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pStyle w:val="25"/>
              <w:spacing w:after="200" w:line="276" w:lineRule="auto"/>
              <w:ind w:left="0" w:leftChars="0"/>
              <w:contextualSpacing/>
              <w:jc w:val="both"/>
              <w:rPr>
                <w:rFonts w:eastAsia="Calibri" w:cs="Times New Roman"/>
                <w:sz w:val="22"/>
                <w:szCs w:val="22"/>
                <w:vertAlign w:val="baseline"/>
                <w:lang w:val="en-GB"/>
              </w:rPr>
            </w:pPr>
            <w:r>
              <w:drawing>
                <wp:inline distT="0" distB="0" distL="114300" distR="114300">
                  <wp:extent cx="6106160" cy="2099310"/>
                  <wp:effectExtent l="0" t="0" r="8890"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106160" cy="2099310"/>
                          </a:xfrm>
                          <a:prstGeom prst="rect">
                            <a:avLst/>
                          </a:prstGeom>
                          <a:noFill/>
                          <a:ln>
                            <a:noFill/>
                          </a:ln>
                        </pic:spPr>
                      </pic:pic>
                    </a:graphicData>
                  </a:graphic>
                </wp:inline>
              </w:drawing>
            </w:r>
          </w:p>
        </w:tc>
      </w:tr>
    </w:tbl>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p>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r>
        <w:rPr>
          <w:rFonts w:hint="eastAsia" w:eastAsia="宋体"/>
          <w:sz w:val="22"/>
          <w:szCs w:val="22"/>
          <w:lang w:val="en-US" w:eastAsia="zh-CN"/>
        </w:rPr>
        <w:t>The definition of IAB types require both RRM and RF considerations. In this paper, we discuss this issue from RRM perspective.</w:t>
      </w:r>
    </w:p>
    <w:p>
      <w:pPr>
        <w:pStyle w:val="27"/>
        <w:jc w:val="both"/>
        <w:rPr>
          <w:rFonts w:hint="default" w:eastAsia="宋体"/>
          <w:lang w:val="en-US" w:eastAsia="zh-CN"/>
        </w:rPr>
      </w:pPr>
      <w:r>
        <w:t>2</w:t>
      </w:r>
      <w:r>
        <w:tab/>
      </w:r>
      <w:r>
        <w:rPr>
          <w:rFonts w:hint="eastAsia"/>
          <w:lang w:val="en-US" w:eastAsia="zh-CN"/>
        </w:rPr>
        <w:t>Definition on different types of IAB MTs</w:t>
      </w:r>
    </w:p>
    <w:p>
      <w:pPr>
        <w:rPr>
          <w:rFonts w:hint="default" w:eastAsia="宋体"/>
          <w:sz w:val="22"/>
          <w:szCs w:val="22"/>
          <w:lang w:val="en-US" w:eastAsia="zh-CN"/>
        </w:rPr>
      </w:pPr>
      <w:r>
        <w:rPr>
          <w:rFonts w:hint="eastAsia" w:eastAsia="宋体"/>
          <w:sz w:val="22"/>
          <w:szCs w:val="22"/>
          <w:lang w:val="en-US" w:eastAsia="zh-CN"/>
        </w:rPr>
        <w:t xml:space="preserve">According to the agreement in RAN #86, different RRM requirements are set for different types of IAB nodes. The idea here is that the </w:t>
      </w:r>
      <w:r>
        <w:rPr>
          <w:rFonts w:hint="default" w:eastAsia="宋体"/>
          <w:sz w:val="22"/>
          <w:szCs w:val="22"/>
          <w:lang w:val="en-US" w:eastAsia="zh-CN"/>
        </w:rPr>
        <w:t>“</w:t>
      </w:r>
      <w:r>
        <w:rPr>
          <w:rFonts w:hint="eastAsia" w:eastAsia="宋体"/>
          <w:sz w:val="22"/>
          <w:szCs w:val="22"/>
          <w:lang w:val="en-US" w:eastAsia="zh-CN"/>
        </w:rPr>
        <w:t>micro</w:t>
      </w:r>
      <w:r>
        <w:rPr>
          <w:rFonts w:hint="default" w:eastAsia="宋体"/>
          <w:sz w:val="22"/>
          <w:szCs w:val="22"/>
          <w:lang w:val="en-US" w:eastAsia="zh-CN"/>
        </w:rPr>
        <w:t>”</w:t>
      </w:r>
      <w:r>
        <w:rPr>
          <w:rFonts w:hint="eastAsia" w:eastAsia="宋体"/>
          <w:sz w:val="22"/>
          <w:szCs w:val="22"/>
          <w:lang w:val="en-US" w:eastAsia="zh-CN"/>
        </w:rPr>
        <w:t xml:space="preserve"> type IAB node would be more vulnerable to blockage (for instance antenna is not high enough or it</w:t>
      </w:r>
      <w:r>
        <w:rPr>
          <w:rFonts w:hint="default" w:eastAsia="宋体"/>
          <w:sz w:val="22"/>
          <w:szCs w:val="22"/>
          <w:lang w:val="en-US" w:eastAsia="zh-CN"/>
        </w:rPr>
        <w:t>’</w:t>
      </w:r>
      <w:r>
        <w:rPr>
          <w:rFonts w:hint="eastAsia" w:eastAsia="宋体"/>
          <w:sz w:val="22"/>
          <w:szCs w:val="22"/>
          <w:lang w:val="en-US" w:eastAsia="zh-CN"/>
        </w:rPr>
        <w:t xml:space="preserve">s deployed in densely built up rural areas), thus presents a more UE alike behavior from RRM perspective. On the other hand, the IAB node in </w:t>
      </w:r>
      <w:r>
        <w:rPr>
          <w:rFonts w:hint="default" w:eastAsia="宋体"/>
          <w:sz w:val="22"/>
          <w:szCs w:val="22"/>
          <w:lang w:val="en-US" w:eastAsia="zh-CN"/>
        </w:rPr>
        <w:t>“</w:t>
      </w:r>
      <w:r>
        <w:rPr>
          <w:rFonts w:hint="eastAsia" w:eastAsia="宋体"/>
          <w:sz w:val="22"/>
          <w:szCs w:val="22"/>
          <w:lang w:val="en-US" w:eastAsia="zh-CN"/>
        </w:rPr>
        <w:t>macro</w:t>
      </w:r>
      <w:r>
        <w:rPr>
          <w:rFonts w:hint="default" w:eastAsia="宋体"/>
          <w:sz w:val="22"/>
          <w:szCs w:val="22"/>
          <w:lang w:val="en-US" w:eastAsia="zh-CN"/>
        </w:rPr>
        <w:t>”</w:t>
      </w:r>
      <w:r>
        <w:rPr>
          <w:rFonts w:hint="eastAsia" w:eastAsia="宋体"/>
          <w:sz w:val="22"/>
          <w:szCs w:val="22"/>
          <w:lang w:val="en-US" w:eastAsia="zh-CN"/>
        </w:rPr>
        <w:t xml:space="preserve"> type of deployment is more likely to be fixed and static and deployed at positions which would naturally avoid blockage issues, so this kind of IAB nodes can have a much relaxed RRM requirements or no requirements at all.</w:t>
      </w:r>
    </w:p>
    <w:p>
      <w:pPr>
        <w:rPr>
          <w:rFonts w:hint="eastAsia" w:eastAsia="宋体"/>
          <w:sz w:val="22"/>
          <w:szCs w:val="22"/>
          <w:lang w:val="en-US" w:eastAsia="zh-CN"/>
        </w:rPr>
      </w:pPr>
      <w:r>
        <w:rPr>
          <w:rFonts w:hint="eastAsia" w:eastAsia="宋体"/>
          <w:sz w:val="22"/>
          <w:szCs w:val="22"/>
          <w:lang w:val="en-US" w:eastAsia="zh-CN"/>
        </w:rPr>
        <w:t xml:space="preserve">One reasonable argument of only having strict RRM requirements for </w:t>
      </w:r>
      <w:r>
        <w:rPr>
          <w:rFonts w:hint="default" w:eastAsia="宋体"/>
          <w:sz w:val="22"/>
          <w:szCs w:val="22"/>
          <w:lang w:val="en-US" w:eastAsia="zh-CN"/>
        </w:rPr>
        <w:t>“</w:t>
      </w:r>
      <w:r>
        <w:rPr>
          <w:rFonts w:hint="eastAsia" w:eastAsia="宋体"/>
          <w:sz w:val="22"/>
          <w:szCs w:val="22"/>
          <w:lang w:val="en-US" w:eastAsia="zh-CN"/>
        </w:rPr>
        <w:t>micro</w:t>
      </w:r>
      <w:r>
        <w:rPr>
          <w:rFonts w:hint="default" w:eastAsia="宋体"/>
          <w:sz w:val="22"/>
          <w:szCs w:val="22"/>
          <w:lang w:val="en-US" w:eastAsia="zh-CN"/>
        </w:rPr>
        <w:t>”</w:t>
      </w:r>
      <w:r>
        <w:rPr>
          <w:rFonts w:hint="eastAsia" w:eastAsia="宋体"/>
          <w:sz w:val="22"/>
          <w:szCs w:val="22"/>
          <w:lang w:val="en-US" w:eastAsia="zh-CN"/>
        </w:rPr>
        <w:t xml:space="preserve"> nodes is that macro nodes are deployed at sites which are carefully planned and thus would naturally avoid link blockage in great probabilities. One open topic is whether to define different types of MTs or to define different types of DUs. From RRM perspective, we believe it makes more sense to define different types of MTs regarding the issue if strict or loose RRM requirements apply. This is because different RRM requirements would be made for different IAB types, then it makes more sense to classify those IAB nodes as MTs. When they act as DUs and serve UEs, the RRM requirements are made at the UEs, not the IAB node. Thus, from RRM perspective, different types of nodes should be defined by MT.</w:t>
      </w:r>
    </w:p>
    <w:p>
      <w:pPr>
        <w:pStyle w:val="35"/>
        <w:rPr>
          <w:rFonts w:hint="eastAsia" w:eastAsia="宋体"/>
          <w:sz w:val="22"/>
          <w:szCs w:val="22"/>
          <w:lang w:val="en-US" w:eastAsia="zh-CN"/>
        </w:rPr>
      </w:pPr>
      <w:r>
        <w:rPr>
          <w:rFonts w:hint="eastAsia" w:eastAsia="宋体"/>
          <w:sz w:val="22"/>
          <w:szCs w:val="22"/>
          <w:lang w:val="en-US" w:eastAsia="zh-CN"/>
        </w:rPr>
        <w:t>Define different types of MTs regarding the issue if strict or loose RRM requirements apply.</w:t>
      </w:r>
    </w:p>
    <w:p>
      <w:pPr>
        <w:rPr>
          <w:rFonts w:hint="default" w:eastAsia="宋体" w:cs="v4.2.0"/>
          <w:sz w:val="22"/>
          <w:szCs w:val="22"/>
          <w:vertAlign w:val="baseline"/>
          <w:lang w:val="en-US" w:eastAsia="zh-CN"/>
        </w:rPr>
      </w:pPr>
      <w:r>
        <w:rPr>
          <w:rFonts w:hint="eastAsia" w:eastAsia="宋体"/>
          <w:sz w:val="22"/>
          <w:szCs w:val="22"/>
          <w:lang w:val="en-US" w:eastAsia="zh-CN"/>
        </w:rPr>
        <w:t>From our understanding of the way forward [1], there should be at least two types of IAB MTs defined.</w:t>
      </w:r>
    </w:p>
    <w:p>
      <w:pPr>
        <w:pStyle w:val="35"/>
        <w:rPr>
          <w:rFonts w:hint="default" w:eastAsia="宋体" w:cs="v4.2.0"/>
          <w:sz w:val="22"/>
          <w:szCs w:val="22"/>
          <w:vertAlign w:val="baseline"/>
          <w:lang w:val="en-US" w:eastAsia="zh-CN"/>
        </w:rPr>
      </w:pPr>
      <w:r>
        <w:rPr>
          <w:rFonts w:hint="eastAsia" w:eastAsia="宋体"/>
          <w:sz w:val="22"/>
          <w:szCs w:val="22"/>
          <w:lang w:val="en-US" w:eastAsia="zh-CN"/>
        </w:rPr>
        <w:t>Define at least two types of MTs.</w:t>
      </w:r>
    </w:p>
    <w:p>
      <w:pPr>
        <w:rPr>
          <w:rFonts w:hint="eastAsia" w:eastAsia="宋体"/>
          <w:sz w:val="22"/>
          <w:szCs w:val="22"/>
          <w:lang w:val="en-US" w:eastAsia="zh-CN"/>
        </w:rPr>
      </w:pPr>
      <w:r>
        <w:rPr>
          <w:rFonts w:hint="eastAsia" w:eastAsia="宋体"/>
          <w:sz w:val="22"/>
          <w:szCs w:val="22"/>
          <w:lang w:val="en-US" w:eastAsia="zh-CN"/>
        </w:rPr>
        <w:t>In Table</w:t>
      </w:r>
      <w:r>
        <w:rPr>
          <w:sz w:val="22"/>
          <w:szCs w:val="22"/>
        </w:rPr>
        <w:t xml:space="preserve"> A.2</w:t>
      </w:r>
      <w:r>
        <w:rPr>
          <w:rFonts w:hint="eastAsia"/>
          <w:sz w:val="22"/>
          <w:szCs w:val="22"/>
          <w:lang w:eastAsia="ja-JP"/>
        </w:rPr>
        <w:t>.1</w:t>
      </w:r>
      <w:r>
        <w:rPr>
          <w:sz w:val="22"/>
          <w:szCs w:val="22"/>
        </w:rPr>
        <w:t>-1</w:t>
      </w:r>
      <w:r>
        <w:rPr>
          <w:rFonts w:hint="eastAsia" w:eastAsia="宋体"/>
          <w:sz w:val="22"/>
          <w:szCs w:val="22"/>
          <w:lang w:val="en-US" w:eastAsia="zh-CN"/>
        </w:rPr>
        <w:t xml:space="preserve"> and A.2.1-4 in TR 38.802 [2] and Table A.1-1 in TR 38.874 [3], the simulation assumption of two types of base stations (macro and micro) is given under dense urban deployment scenario. Below we duplicate and summarize some of the content in the table to show the difference between these two types of BSs.</w:t>
      </w:r>
    </w:p>
    <w:tbl>
      <w:tblPr>
        <w:tblStyle w:val="22"/>
        <w:tblW w:w="984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1"/>
        <w:gridCol w:w="3281"/>
        <w:gridCol w:w="3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81" w:type="dxa"/>
          </w:tcPr>
          <w:p>
            <w:pPr>
              <w:jc w:val="center"/>
              <w:rPr>
                <w:rFonts w:hint="eastAsia" w:eastAsia="宋体"/>
                <w:sz w:val="22"/>
                <w:szCs w:val="22"/>
                <w:vertAlign w:val="baseline"/>
                <w:lang w:val="en-US" w:eastAsia="zh-CN"/>
              </w:rPr>
            </w:pPr>
          </w:p>
        </w:tc>
        <w:tc>
          <w:tcPr>
            <w:tcW w:w="3281" w:type="dxa"/>
          </w:tcPr>
          <w:p>
            <w:pPr>
              <w:jc w:val="center"/>
              <w:rPr>
                <w:rFonts w:hint="default" w:eastAsia="宋体"/>
                <w:sz w:val="22"/>
                <w:szCs w:val="22"/>
                <w:vertAlign w:val="baseline"/>
                <w:lang w:val="en-US" w:eastAsia="zh-CN"/>
              </w:rPr>
            </w:pPr>
            <w:r>
              <w:rPr>
                <w:rFonts w:hint="eastAsia" w:eastAsia="宋体"/>
                <w:sz w:val="22"/>
                <w:szCs w:val="22"/>
                <w:vertAlign w:val="baseline"/>
                <w:lang w:val="en-US" w:eastAsia="zh-CN"/>
              </w:rPr>
              <w:t>macro</w:t>
            </w:r>
          </w:p>
        </w:tc>
        <w:tc>
          <w:tcPr>
            <w:tcW w:w="3281" w:type="dxa"/>
          </w:tcPr>
          <w:p>
            <w:pPr>
              <w:jc w:val="center"/>
              <w:rPr>
                <w:rFonts w:hint="default" w:eastAsia="宋体"/>
                <w:sz w:val="22"/>
                <w:szCs w:val="22"/>
                <w:vertAlign w:val="baseline"/>
                <w:lang w:val="en-US" w:eastAsia="zh-CN"/>
              </w:rPr>
            </w:pPr>
            <w:r>
              <w:rPr>
                <w:rFonts w:hint="eastAsia" w:eastAsia="宋体"/>
                <w:sz w:val="22"/>
                <w:szCs w:val="22"/>
                <w:vertAlign w:val="baseline"/>
                <w:lang w:val="en-US" w:eastAsia="zh-CN"/>
              </w:rPr>
              <w:t>micro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81" w:type="dxa"/>
          </w:tcPr>
          <w:p>
            <w:pPr>
              <w:jc w:val="center"/>
              <w:rPr>
                <w:rFonts w:hint="eastAsia" w:eastAsia="宋体"/>
                <w:sz w:val="22"/>
                <w:szCs w:val="22"/>
                <w:vertAlign w:val="baseline"/>
                <w:lang w:val="en-US" w:eastAsia="zh-CN"/>
              </w:rPr>
            </w:pPr>
            <w:r>
              <w:rPr>
                <w:rFonts w:hint="eastAsia"/>
                <w:lang w:eastAsia="ja-JP"/>
              </w:rPr>
              <w:t xml:space="preserve">BS </w:t>
            </w:r>
            <w:r>
              <w:rPr>
                <w:lang w:eastAsia="ja-JP"/>
              </w:rPr>
              <w:t xml:space="preserve">Tx power </w:t>
            </w:r>
          </w:p>
        </w:tc>
        <w:tc>
          <w:tcPr>
            <w:tcW w:w="3281" w:type="dxa"/>
          </w:tcPr>
          <w:p>
            <w:pPr>
              <w:pStyle w:val="47"/>
              <w:jc w:val="left"/>
              <w:rPr>
                <w:rFonts w:hint="eastAsia"/>
                <w:lang w:eastAsia="ja-JP"/>
              </w:rPr>
            </w:pPr>
            <w:r>
              <w:rPr>
                <w:lang w:eastAsia="ja-JP"/>
              </w:rPr>
              <w:t>Below 6GHz: 44 dBm PA scaled down with simulation BW when system BW is higher than simulation BW. Otherwise, 44 dBm</w:t>
            </w:r>
          </w:p>
          <w:p>
            <w:pPr>
              <w:pStyle w:val="47"/>
              <w:jc w:val="left"/>
              <w:rPr>
                <w:rFonts w:hint="eastAsia"/>
                <w:lang w:val="en-US" w:eastAsia="zh-CN"/>
              </w:rPr>
            </w:pPr>
            <w:r>
              <w:rPr>
                <w:rFonts w:hint="eastAsia"/>
                <w:lang w:eastAsia="ja-JP"/>
              </w:rPr>
              <w:t>Above 6GHz</w:t>
            </w:r>
            <w:r>
              <w:rPr>
                <w:lang w:eastAsia="ja-JP"/>
              </w:rPr>
              <w:t>: 4</w:t>
            </w:r>
            <w:r>
              <w:rPr>
                <w:rFonts w:hint="eastAsia"/>
                <w:lang w:eastAsia="ja-JP"/>
              </w:rPr>
              <w:t>0</w:t>
            </w:r>
            <w:r>
              <w:rPr>
                <w:lang w:eastAsia="ja-JP"/>
              </w:rPr>
              <w:t xml:space="preserve"> dBm PA scaled down with simulation BW when system BW is higher than simulation BW. Otherwise, 4</w:t>
            </w:r>
            <w:r>
              <w:rPr>
                <w:rFonts w:hint="eastAsia"/>
                <w:lang w:eastAsia="ja-JP"/>
              </w:rPr>
              <w:t>0</w:t>
            </w:r>
            <w:r>
              <w:rPr>
                <w:lang w:eastAsia="ja-JP"/>
              </w:rPr>
              <w:t xml:space="preserve"> dBm</w:t>
            </w:r>
          </w:p>
        </w:tc>
        <w:tc>
          <w:tcPr>
            <w:tcW w:w="3281" w:type="dxa"/>
          </w:tcPr>
          <w:p>
            <w:pPr>
              <w:pStyle w:val="47"/>
              <w:jc w:val="left"/>
              <w:rPr>
                <w:lang w:eastAsia="ja-JP"/>
              </w:rPr>
            </w:pPr>
            <w:r>
              <w:rPr>
                <w:lang w:eastAsia="ja-JP"/>
              </w:rPr>
              <w:t>4 GHz: 33dBm for 20MHz system bandwidth</w:t>
            </w:r>
          </w:p>
          <w:p>
            <w:pPr>
              <w:pStyle w:val="47"/>
              <w:jc w:val="left"/>
              <w:rPr>
                <w:rFonts w:hint="eastAsia"/>
                <w:lang w:val="en-US" w:eastAsia="zh-CN"/>
              </w:rPr>
            </w:pPr>
            <w:r>
              <w:rPr>
                <w:lang w:eastAsia="ja-JP"/>
              </w:rPr>
              <w:t>Above 6GHz: 33 dBm PA scaled down with simulation BW when system BW is higher than simulation BW. Otherwise, 33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81" w:type="dxa"/>
          </w:tcPr>
          <w:p>
            <w:pPr>
              <w:jc w:val="center"/>
              <w:rPr>
                <w:rFonts w:hint="eastAsia" w:eastAsia="宋体"/>
                <w:sz w:val="22"/>
                <w:szCs w:val="22"/>
                <w:vertAlign w:val="baseline"/>
                <w:lang w:val="en-US" w:eastAsia="zh-CN"/>
              </w:rPr>
            </w:pPr>
            <w:r>
              <w:rPr>
                <w:lang w:eastAsia="ja-JP"/>
              </w:rPr>
              <w:t xml:space="preserve">BS antenna height </w:t>
            </w:r>
          </w:p>
        </w:tc>
        <w:tc>
          <w:tcPr>
            <w:tcW w:w="3281" w:type="dxa"/>
          </w:tcPr>
          <w:p>
            <w:pPr>
              <w:jc w:val="left"/>
              <w:rPr>
                <w:rFonts w:hint="default" w:eastAsia="宋体"/>
                <w:sz w:val="22"/>
                <w:szCs w:val="22"/>
                <w:vertAlign w:val="baseline"/>
                <w:lang w:val="en-US" w:eastAsia="zh-CN"/>
              </w:rPr>
            </w:pPr>
            <w:r>
              <w:rPr>
                <w:rFonts w:hint="eastAsia" w:eastAsia="宋体"/>
                <w:sz w:val="22"/>
                <w:szCs w:val="22"/>
                <w:vertAlign w:val="baseline"/>
                <w:lang w:val="en-US" w:eastAsia="zh-CN"/>
              </w:rPr>
              <w:t>25m</w:t>
            </w:r>
          </w:p>
        </w:tc>
        <w:tc>
          <w:tcPr>
            <w:tcW w:w="3281" w:type="dxa"/>
          </w:tcPr>
          <w:p>
            <w:pPr>
              <w:jc w:val="left"/>
              <w:rPr>
                <w:rFonts w:hint="default" w:eastAsia="宋体"/>
                <w:sz w:val="22"/>
                <w:szCs w:val="22"/>
                <w:vertAlign w:val="baseline"/>
                <w:lang w:val="en-US" w:eastAsia="zh-CN"/>
              </w:rPr>
            </w:pPr>
            <w:r>
              <w:rPr>
                <w:rFonts w:hint="eastAsia" w:eastAsia="宋体"/>
                <w:sz w:val="22"/>
                <w:szCs w:val="22"/>
                <w:vertAlign w:val="baseline"/>
                <w:lang w:val="en-US" w:eastAsia="zh-CN"/>
              </w:rPr>
              <w:t>10m</w:t>
            </w:r>
          </w:p>
        </w:tc>
      </w:tr>
    </w:tbl>
    <w:p>
      <w:pPr>
        <w:pStyle w:val="35"/>
        <w:numPr>
          <w:ilvl w:val="0"/>
          <w:numId w:val="0"/>
        </w:numPr>
        <w:ind w:leftChars="0"/>
        <w:rPr>
          <w:rFonts w:hint="default" w:eastAsia="宋体"/>
          <w:b w:val="0"/>
          <w:bCs/>
          <w:sz w:val="22"/>
          <w:szCs w:val="22"/>
          <w:lang w:val="en-US" w:eastAsia="zh-CN"/>
        </w:rPr>
      </w:pPr>
      <w:r>
        <w:rPr>
          <w:rFonts w:hint="eastAsia" w:eastAsia="宋体"/>
          <w:b w:val="0"/>
          <w:bCs/>
          <w:sz w:val="22"/>
          <w:szCs w:val="22"/>
          <w:lang w:val="en-US" w:eastAsia="zh-CN"/>
        </w:rPr>
        <w:t>There are also other types of difference listed in the tables, while in our view the BS Tx power and antenna height are the most essential.</w:t>
      </w:r>
    </w:p>
    <w:p>
      <w:pPr>
        <w:pStyle w:val="35"/>
        <w:rPr>
          <w:rFonts w:hint="eastAsia"/>
          <w:sz w:val="22"/>
          <w:szCs w:val="22"/>
          <w:lang w:val="en-US" w:eastAsia="zh-CN"/>
        </w:rPr>
      </w:pPr>
      <w:r>
        <w:rPr>
          <w:rFonts w:hint="eastAsia" w:eastAsia="宋体"/>
          <w:sz w:val="22"/>
          <w:szCs w:val="22"/>
          <w:lang w:val="en-US" w:eastAsia="zh-CN"/>
        </w:rPr>
        <w:t>Take the parameters in above table duplicated from TR 38.802 and TR 38.874 as a starting point to define different types of IAB MTs.</w:t>
      </w:r>
    </w:p>
    <w:p>
      <w:pPr>
        <w:pStyle w:val="27"/>
        <w:jc w:val="both"/>
      </w:pPr>
      <w:r>
        <w:rPr>
          <w:rFonts w:hint="eastAsia"/>
          <w:lang w:val="en-US" w:eastAsia="zh-CN"/>
        </w:rPr>
        <w:t>3</w:t>
      </w:r>
      <w:r>
        <w:tab/>
      </w:r>
      <w:r>
        <w:t>Conclusion</w:t>
      </w:r>
    </w:p>
    <w:p>
      <w:pPr>
        <w:pStyle w:val="35"/>
        <w:numPr>
          <w:ilvl w:val="0"/>
          <w:numId w:val="0"/>
        </w:numPr>
        <w:ind w:leftChars="0"/>
        <w:rPr>
          <w:rFonts w:hint="eastAsia" w:eastAsia="宋体"/>
          <w:sz w:val="22"/>
          <w:szCs w:val="22"/>
          <w:lang w:val="en-US" w:eastAsia="zh-CN"/>
        </w:rPr>
      </w:pPr>
      <w:r>
        <w:rPr>
          <w:rFonts w:hint="eastAsia"/>
          <w:sz w:val="22"/>
          <w:szCs w:val="22"/>
          <w:lang w:val="en-US" w:eastAsia="zh-CN"/>
        </w:rPr>
        <w:t xml:space="preserve">Proposal 1: </w:t>
      </w:r>
      <w:r>
        <w:rPr>
          <w:rFonts w:hint="eastAsia" w:eastAsia="宋体"/>
          <w:sz w:val="22"/>
          <w:szCs w:val="22"/>
          <w:lang w:val="en-US" w:eastAsia="zh-CN"/>
        </w:rPr>
        <w:t>Define different types of MTs regarding the issue if strict or loose RRM requirements apply</w:t>
      </w:r>
      <w:bookmarkStart w:id="3" w:name="_GoBack"/>
      <w:bookmarkEnd w:id="3"/>
      <w:r>
        <w:rPr>
          <w:rFonts w:hint="eastAsia" w:eastAsia="宋体"/>
          <w:sz w:val="22"/>
          <w:szCs w:val="22"/>
          <w:lang w:val="en-US" w:eastAsia="zh-CN"/>
        </w:rPr>
        <w:t>.</w:t>
      </w:r>
    </w:p>
    <w:p>
      <w:pPr>
        <w:pStyle w:val="35"/>
        <w:numPr>
          <w:ilvl w:val="0"/>
          <w:numId w:val="0"/>
        </w:numPr>
        <w:ind w:leftChars="0"/>
        <w:rPr>
          <w:rFonts w:hint="eastAsia" w:eastAsia="宋体"/>
          <w:sz w:val="22"/>
          <w:szCs w:val="22"/>
          <w:lang w:val="en-US" w:eastAsia="zh-CN"/>
        </w:rPr>
      </w:pPr>
      <w:r>
        <w:rPr>
          <w:rFonts w:hint="eastAsia" w:eastAsia="宋体"/>
          <w:sz w:val="22"/>
          <w:szCs w:val="22"/>
          <w:lang w:val="en-US" w:eastAsia="zh-CN"/>
        </w:rPr>
        <w:t>Proposal 2: Define at least two types of MTs.</w:t>
      </w:r>
    </w:p>
    <w:p>
      <w:pPr>
        <w:pStyle w:val="35"/>
        <w:numPr>
          <w:ilvl w:val="0"/>
          <w:numId w:val="0"/>
        </w:numPr>
        <w:ind w:leftChars="0"/>
        <w:rPr>
          <w:rFonts w:hint="default"/>
          <w:b w:val="0"/>
          <w:iCs w:val="0"/>
          <w:sz w:val="22"/>
          <w:szCs w:val="22"/>
          <w:lang w:val="en-US"/>
        </w:rPr>
      </w:pPr>
      <w:r>
        <w:rPr>
          <w:rFonts w:hint="eastAsia"/>
          <w:sz w:val="22"/>
          <w:szCs w:val="22"/>
          <w:lang w:val="en-US" w:eastAsia="zh-CN"/>
        </w:rPr>
        <w:t xml:space="preserve">Proposal 3: </w:t>
      </w:r>
      <w:r>
        <w:rPr>
          <w:rFonts w:hint="eastAsia" w:eastAsia="宋体"/>
          <w:sz w:val="22"/>
          <w:szCs w:val="22"/>
          <w:lang w:val="en-US" w:eastAsia="zh-CN"/>
        </w:rPr>
        <w:t>Take the parameters in above table duplicated from TR 38.802 and TR 38.874 as a starting point to define different types of IAB MTs.</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lang w:val="en-GB"/>
        </w:rPr>
      </w:pPr>
      <w:bookmarkStart w:id="2" w:name="_Ref2843888"/>
      <w:r>
        <w:rPr>
          <w:rFonts w:hint="eastAsia" w:eastAsia="宋体"/>
          <w:lang w:val="en-US" w:eastAsia="zh-CN"/>
        </w:rPr>
        <w:t>RP-193199; Proposed Way Forward on RRM Requirements for the IAB Project</w:t>
      </w:r>
      <w:r>
        <w:rPr>
          <w:lang w:val="en-GB"/>
        </w:rPr>
        <w:t>.</w:t>
      </w:r>
      <w:bookmarkEnd w:id="2"/>
      <w:r>
        <w:rPr>
          <w:lang w:val="en-GB"/>
        </w:rPr>
        <w:t xml:space="preserve"> </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TR 38.802; Study on New Radio Access Technology Physical Layer Aspects.</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TR 38.874; NR; Study on Integrated Access and Backhaul.</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Yu Mincho">
    <w:altName w:val="MS Mincho"/>
    <w:panose1 w:val="00000000000000000000"/>
    <w:charset w:val="80"/>
    <w:family w:val="roman"/>
    <w:pitch w:val="default"/>
    <w:sig w:usb0="00000000" w:usb1="00000000" w:usb2="00000012" w:usb3="00000000" w:csb0="0002009F"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3EDF"/>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660D4"/>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16EDC"/>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CC4E4E"/>
    <w:rsid w:val="01FF08B3"/>
    <w:rsid w:val="02B274E2"/>
    <w:rsid w:val="02C25D33"/>
    <w:rsid w:val="03C6506D"/>
    <w:rsid w:val="03F37217"/>
    <w:rsid w:val="03F941BD"/>
    <w:rsid w:val="04C77D0A"/>
    <w:rsid w:val="04D5204C"/>
    <w:rsid w:val="04EB5D24"/>
    <w:rsid w:val="05832DBE"/>
    <w:rsid w:val="059B61E4"/>
    <w:rsid w:val="05A86143"/>
    <w:rsid w:val="06105DAC"/>
    <w:rsid w:val="062F1DED"/>
    <w:rsid w:val="069766CC"/>
    <w:rsid w:val="07502CA2"/>
    <w:rsid w:val="078B76F8"/>
    <w:rsid w:val="079D410C"/>
    <w:rsid w:val="080661C8"/>
    <w:rsid w:val="08641205"/>
    <w:rsid w:val="0868025F"/>
    <w:rsid w:val="0873226E"/>
    <w:rsid w:val="08935729"/>
    <w:rsid w:val="08C654D4"/>
    <w:rsid w:val="08CC5D10"/>
    <w:rsid w:val="09203A04"/>
    <w:rsid w:val="092C45E6"/>
    <w:rsid w:val="09302417"/>
    <w:rsid w:val="09462CA2"/>
    <w:rsid w:val="099F556C"/>
    <w:rsid w:val="09C640C3"/>
    <w:rsid w:val="0A5763D4"/>
    <w:rsid w:val="0A7BF868"/>
    <w:rsid w:val="0A8408FB"/>
    <w:rsid w:val="0B2F05F5"/>
    <w:rsid w:val="0B7322DC"/>
    <w:rsid w:val="0BB77882"/>
    <w:rsid w:val="0C3C5307"/>
    <w:rsid w:val="0C56263C"/>
    <w:rsid w:val="0C5E2B8A"/>
    <w:rsid w:val="0C8C334A"/>
    <w:rsid w:val="0D102274"/>
    <w:rsid w:val="0DA958CA"/>
    <w:rsid w:val="0DF104D3"/>
    <w:rsid w:val="0E1C586B"/>
    <w:rsid w:val="0E2E59BB"/>
    <w:rsid w:val="0E5237AB"/>
    <w:rsid w:val="0EA22604"/>
    <w:rsid w:val="0ED138E6"/>
    <w:rsid w:val="0EED584B"/>
    <w:rsid w:val="0F67780F"/>
    <w:rsid w:val="0F8925E2"/>
    <w:rsid w:val="0F8F3C2A"/>
    <w:rsid w:val="0FB648CB"/>
    <w:rsid w:val="0FD0731A"/>
    <w:rsid w:val="0FF1533A"/>
    <w:rsid w:val="0FFE0AFA"/>
    <w:rsid w:val="10AA3C13"/>
    <w:rsid w:val="10CD0B75"/>
    <w:rsid w:val="110C4D24"/>
    <w:rsid w:val="122017FC"/>
    <w:rsid w:val="128409CA"/>
    <w:rsid w:val="12BA34A2"/>
    <w:rsid w:val="12BB3A94"/>
    <w:rsid w:val="12EF585C"/>
    <w:rsid w:val="13262572"/>
    <w:rsid w:val="136D11EC"/>
    <w:rsid w:val="137D50D6"/>
    <w:rsid w:val="139B3B65"/>
    <w:rsid w:val="13D36053"/>
    <w:rsid w:val="13F75352"/>
    <w:rsid w:val="14041DDC"/>
    <w:rsid w:val="1480544B"/>
    <w:rsid w:val="14B36B91"/>
    <w:rsid w:val="14DA062A"/>
    <w:rsid w:val="164F667E"/>
    <w:rsid w:val="165D0583"/>
    <w:rsid w:val="16654289"/>
    <w:rsid w:val="16DB79C9"/>
    <w:rsid w:val="16EF3D4B"/>
    <w:rsid w:val="17141F2D"/>
    <w:rsid w:val="17292696"/>
    <w:rsid w:val="17A076C4"/>
    <w:rsid w:val="17A62BCE"/>
    <w:rsid w:val="17C22275"/>
    <w:rsid w:val="17E826AB"/>
    <w:rsid w:val="18D3414F"/>
    <w:rsid w:val="18D91924"/>
    <w:rsid w:val="19A96435"/>
    <w:rsid w:val="1A0B3A21"/>
    <w:rsid w:val="1A617381"/>
    <w:rsid w:val="1AD65BEF"/>
    <w:rsid w:val="1B28472E"/>
    <w:rsid w:val="1B3329B5"/>
    <w:rsid w:val="1B7F155B"/>
    <w:rsid w:val="1C6A6128"/>
    <w:rsid w:val="1C9F5A6F"/>
    <w:rsid w:val="1CC348D8"/>
    <w:rsid w:val="1D1F1294"/>
    <w:rsid w:val="1E3C5FA6"/>
    <w:rsid w:val="1E8806BC"/>
    <w:rsid w:val="1EA137E3"/>
    <w:rsid w:val="1EE66AFB"/>
    <w:rsid w:val="1F0936F5"/>
    <w:rsid w:val="1F144EAE"/>
    <w:rsid w:val="1F17474D"/>
    <w:rsid w:val="1F2B10F9"/>
    <w:rsid w:val="1F711839"/>
    <w:rsid w:val="200D067C"/>
    <w:rsid w:val="20811B82"/>
    <w:rsid w:val="20875398"/>
    <w:rsid w:val="20A662B2"/>
    <w:rsid w:val="21091739"/>
    <w:rsid w:val="211451D0"/>
    <w:rsid w:val="2151075A"/>
    <w:rsid w:val="219E74A3"/>
    <w:rsid w:val="220539DF"/>
    <w:rsid w:val="22571B82"/>
    <w:rsid w:val="22920D1D"/>
    <w:rsid w:val="22C0245E"/>
    <w:rsid w:val="22D53814"/>
    <w:rsid w:val="23514077"/>
    <w:rsid w:val="23855295"/>
    <w:rsid w:val="23B20773"/>
    <w:rsid w:val="23CF6D67"/>
    <w:rsid w:val="24666758"/>
    <w:rsid w:val="248F188B"/>
    <w:rsid w:val="24E91488"/>
    <w:rsid w:val="25077EC5"/>
    <w:rsid w:val="25151459"/>
    <w:rsid w:val="251668A0"/>
    <w:rsid w:val="25630107"/>
    <w:rsid w:val="25962669"/>
    <w:rsid w:val="25C20278"/>
    <w:rsid w:val="262D62D9"/>
    <w:rsid w:val="26681CAB"/>
    <w:rsid w:val="267E5FCE"/>
    <w:rsid w:val="26C70339"/>
    <w:rsid w:val="273B1D02"/>
    <w:rsid w:val="27572E0B"/>
    <w:rsid w:val="280C272A"/>
    <w:rsid w:val="28352D10"/>
    <w:rsid w:val="284E33F7"/>
    <w:rsid w:val="287A3770"/>
    <w:rsid w:val="293606FA"/>
    <w:rsid w:val="29517179"/>
    <w:rsid w:val="29E7086A"/>
    <w:rsid w:val="2A1219AD"/>
    <w:rsid w:val="2A394321"/>
    <w:rsid w:val="2A651BFD"/>
    <w:rsid w:val="2AE26D3F"/>
    <w:rsid w:val="2AF8774D"/>
    <w:rsid w:val="2B0F6E62"/>
    <w:rsid w:val="2B4E55E6"/>
    <w:rsid w:val="2B7579C5"/>
    <w:rsid w:val="2BB04900"/>
    <w:rsid w:val="2C3A3275"/>
    <w:rsid w:val="2C495744"/>
    <w:rsid w:val="2CEE6B8D"/>
    <w:rsid w:val="2D233DAE"/>
    <w:rsid w:val="2D8E403A"/>
    <w:rsid w:val="2E0770FA"/>
    <w:rsid w:val="2E145F76"/>
    <w:rsid w:val="2EA86D09"/>
    <w:rsid w:val="2F32226B"/>
    <w:rsid w:val="2F376D10"/>
    <w:rsid w:val="2FA231C5"/>
    <w:rsid w:val="301F6A8F"/>
    <w:rsid w:val="308B65F2"/>
    <w:rsid w:val="3117229F"/>
    <w:rsid w:val="31395268"/>
    <w:rsid w:val="31950F1B"/>
    <w:rsid w:val="31A50177"/>
    <w:rsid w:val="320F0A18"/>
    <w:rsid w:val="32351CB2"/>
    <w:rsid w:val="324554E5"/>
    <w:rsid w:val="325D2B5A"/>
    <w:rsid w:val="327661FC"/>
    <w:rsid w:val="3288676B"/>
    <w:rsid w:val="32A12F92"/>
    <w:rsid w:val="32B33B5A"/>
    <w:rsid w:val="32EE27B2"/>
    <w:rsid w:val="33245EFA"/>
    <w:rsid w:val="33372789"/>
    <w:rsid w:val="333876C2"/>
    <w:rsid w:val="33484A1E"/>
    <w:rsid w:val="334C4609"/>
    <w:rsid w:val="33556C65"/>
    <w:rsid w:val="335F47E9"/>
    <w:rsid w:val="346E4104"/>
    <w:rsid w:val="3476470C"/>
    <w:rsid w:val="34D83C16"/>
    <w:rsid w:val="3509315E"/>
    <w:rsid w:val="351A4CC6"/>
    <w:rsid w:val="359308A5"/>
    <w:rsid w:val="37705F34"/>
    <w:rsid w:val="377700B0"/>
    <w:rsid w:val="37846083"/>
    <w:rsid w:val="378B017D"/>
    <w:rsid w:val="378F4036"/>
    <w:rsid w:val="37AF7036"/>
    <w:rsid w:val="380927B5"/>
    <w:rsid w:val="38333C93"/>
    <w:rsid w:val="3876150B"/>
    <w:rsid w:val="392739EA"/>
    <w:rsid w:val="392D38AD"/>
    <w:rsid w:val="3946679B"/>
    <w:rsid w:val="399A43EA"/>
    <w:rsid w:val="39BC619F"/>
    <w:rsid w:val="3A0F1960"/>
    <w:rsid w:val="3A166029"/>
    <w:rsid w:val="3A364B42"/>
    <w:rsid w:val="3AF216E5"/>
    <w:rsid w:val="3B30671A"/>
    <w:rsid w:val="3B5662AC"/>
    <w:rsid w:val="3C617359"/>
    <w:rsid w:val="3C727D51"/>
    <w:rsid w:val="3CCE203C"/>
    <w:rsid w:val="3D0C1655"/>
    <w:rsid w:val="3D4E48C8"/>
    <w:rsid w:val="3D77737D"/>
    <w:rsid w:val="3DC04E13"/>
    <w:rsid w:val="3DD244E7"/>
    <w:rsid w:val="3E5B41D6"/>
    <w:rsid w:val="3ECE16FA"/>
    <w:rsid w:val="3F072EB0"/>
    <w:rsid w:val="3FF55768"/>
    <w:rsid w:val="40566CBF"/>
    <w:rsid w:val="405B0BEF"/>
    <w:rsid w:val="407921CE"/>
    <w:rsid w:val="40C04FE0"/>
    <w:rsid w:val="41AA7137"/>
    <w:rsid w:val="41CD67F0"/>
    <w:rsid w:val="41EC58FB"/>
    <w:rsid w:val="42381A71"/>
    <w:rsid w:val="426B0C9E"/>
    <w:rsid w:val="42841694"/>
    <w:rsid w:val="429266C7"/>
    <w:rsid w:val="42AF1322"/>
    <w:rsid w:val="42B30ACF"/>
    <w:rsid w:val="42E73C10"/>
    <w:rsid w:val="430903EA"/>
    <w:rsid w:val="43140EC2"/>
    <w:rsid w:val="43EE582E"/>
    <w:rsid w:val="43F92766"/>
    <w:rsid w:val="43FB3DA4"/>
    <w:rsid w:val="44022066"/>
    <w:rsid w:val="441C4006"/>
    <w:rsid w:val="4428409F"/>
    <w:rsid w:val="447304DD"/>
    <w:rsid w:val="449E489D"/>
    <w:rsid w:val="44B24294"/>
    <w:rsid w:val="451019FB"/>
    <w:rsid w:val="455B13AC"/>
    <w:rsid w:val="45B614C2"/>
    <w:rsid w:val="45CF3CD0"/>
    <w:rsid w:val="460567D8"/>
    <w:rsid w:val="462F25DF"/>
    <w:rsid w:val="46620161"/>
    <w:rsid w:val="46D37F99"/>
    <w:rsid w:val="477A6D83"/>
    <w:rsid w:val="47C304FD"/>
    <w:rsid w:val="47C357A6"/>
    <w:rsid w:val="47D77F02"/>
    <w:rsid w:val="487C3875"/>
    <w:rsid w:val="48977283"/>
    <w:rsid w:val="48FA3778"/>
    <w:rsid w:val="49896512"/>
    <w:rsid w:val="4996414B"/>
    <w:rsid w:val="49BA3D71"/>
    <w:rsid w:val="4A5C70F1"/>
    <w:rsid w:val="4AB61A05"/>
    <w:rsid w:val="4AF26B9D"/>
    <w:rsid w:val="4B0069DD"/>
    <w:rsid w:val="4B21628E"/>
    <w:rsid w:val="4BB65435"/>
    <w:rsid w:val="4BCE1489"/>
    <w:rsid w:val="4BEA1EE4"/>
    <w:rsid w:val="4BFB2D49"/>
    <w:rsid w:val="4C293566"/>
    <w:rsid w:val="4C723787"/>
    <w:rsid w:val="4CF05EAC"/>
    <w:rsid w:val="4D102CB4"/>
    <w:rsid w:val="4D9E609E"/>
    <w:rsid w:val="4DF848A8"/>
    <w:rsid w:val="4E0243C8"/>
    <w:rsid w:val="4EA61F19"/>
    <w:rsid w:val="4EB053BD"/>
    <w:rsid w:val="4FBC6FAF"/>
    <w:rsid w:val="4FDC68F3"/>
    <w:rsid w:val="50005DA1"/>
    <w:rsid w:val="502A6272"/>
    <w:rsid w:val="5041435B"/>
    <w:rsid w:val="50564CCA"/>
    <w:rsid w:val="505A1CB0"/>
    <w:rsid w:val="509778C7"/>
    <w:rsid w:val="51445A84"/>
    <w:rsid w:val="51773E2A"/>
    <w:rsid w:val="51C023AC"/>
    <w:rsid w:val="51C53170"/>
    <w:rsid w:val="5280421D"/>
    <w:rsid w:val="52BF27F0"/>
    <w:rsid w:val="52FC10E1"/>
    <w:rsid w:val="535E62F0"/>
    <w:rsid w:val="5361709F"/>
    <w:rsid w:val="53705401"/>
    <w:rsid w:val="53752E8D"/>
    <w:rsid w:val="53832E83"/>
    <w:rsid w:val="53C44BEA"/>
    <w:rsid w:val="53D45151"/>
    <w:rsid w:val="540D782C"/>
    <w:rsid w:val="5426730B"/>
    <w:rsid w:val="542835DF"/>
    <w:rsid w:val="542F1421"/>
    <w:rsid w:val="544B51D2"/>
    <w:rsid w:val="544D013B"/>
    <w:rsid w:val="546C32BA"/>
    <w:rsid w:val="55352F87"/>
    <w:rsid w:val="5553143F"/>
    <w:rsid w:val="55B42DC5"/>
    <w:rsid w:val="56E81135"/>
    <w:rsid w:val="57221ADC"/>
    <w:rsid w:val="573B229E"/>
    <w:rsid w:val="586B2608"/>
    <w:rsid w:val="58E20C36"/>
    <w:rsid w:val="592D7AE2"/>
    <w:rsid w:val="593554F0"/>
    <w:rsid w:val="5A3078C5"/>
    <w:rsid w:val="5A5C632A"/>
    <w:rsid w:val="5AAC4CA7"/>
    <w:rsid w:val="5ADF3A74"/>
    <w:rsid w:val="5AE53367"/>
    <w:rsid w:val="5B0B0083"/>
    <w:rsid w:val="5BC0364C"/>
    <w:rsid w:val="5BC3228B"/>
    <w:rsid w:val="5C3B1FEA"/>
    <w:rsid w:val="5C6A01BF"/>
    <w:rsid w:val="5D041ECD"/>
    <w:rsid w:val="5E2D4C21"/>
    <w:rsid w:val="5EE41E2E"/>
    <w:rsid w:val="5F0F00DA"/>
    <w:rsid w:val="5F5E6814"/>
    <w:rsid w:val="60017F85"/>
    <w:rsid w:val="6045086B"/>
    <w:rsid w:val="60717C95"/>
    <w:rsid w:val="60730B03"/>
    <w:rsid w:val="60745B63"/>
    <w:rsid w:val="61051332"/>
    <w:rsid w:val="62302F88"/>
    <w:rsid w:val="62812953"/>
    <w:rsid w:val="62B7743E"/>
    <w:rsid w:val="64116858"/>
    <w:rsid w:val="648D5222"/>
    <w:rsid w:val="64B2258D"/>
    <w:rsid w:val="64D35246"/>
    <w:rsid w:val="65997784"/>
    <w:rsid w:val="65C64C37"/>
    <w:rsid w:val="661E18B5"/>
    <w:rsid w:val="667B6115"/>
    <w:rsid w:val="66AB371C"/>
    <w:rsid w:val="66AE1192"/>
    <w:rsid w:val="66C26880"/>
    <w:rsid w:val="66CA69C3"/>
    <w:rsid w:val="67DA4215"/>
    <w:rsid w:val="67E42DFA"/>
    <w:rsid w:val="680A09E1"/>
    <w:rsid w:val="6860443E"/>
    <w:rsid w:val="68EB3ADC"/>
    <w:rsid w:val="69462386"/>
    <w:rsid w:val="6A7016FE"/>
    <w:rsid w:val="6AFC6812"/>
    <w:rsid w:val="6B5E2EC6"/>
    <w:rsid w:val="6C42065A"/>
    <w:rsid w:val="6C6F44FD"/>
    <w:rsid w:val="6CD4731D"/>
    <w:rsid w:val="6D121910"/>
    <w:rsid w:val="6D164AB2"/>
    <w:rsid w:val="6D3205F0"/>
    <w:rsid w:val="6DB702B4"/>
    <w:rsid w:val="6E504618"/>
    <w:rsid w:val="6EB20078"/>
    <w:rsid w:val="6EBC2C5D"/>
    <w:rsid w:val="6F5579D7"/>
    <w:rsid w:val="6F801AF8"/>
    <w:rsid w:val="6F8906F0"/>
    <w:rsid w:val="6F8D5AAE"/>
    <w:rsid w:val="6FFF59CB"/>
    <w:rsid w:val="70160759"/>
    <w:rsid w:val="70200B37"/>
    <w:rsid w:val="7037013D"/>
    <w:rsid w:val="704E4A67"/>
    <w:rsid w:val="70940285"/>
    <w:rsid w:val="70995673"/>
    <w:rsid w:val="70AA0AC2"/>
    <w:rsid w:val="70EA7511"/>
    <w:rsid w:val="71143E21"/>
    <w:rsid w:val="72867A39"/>
    <w:rsid w:val="72EE3608"/>
    <w:rsid w:val="7327462F"/>
    <w:rsid w:val="732F59FD"/>
    <w:rsid w:val="732F7900"/>
    <w:rsid w:val="734B5574"/>
    <w:rsid w:val="7355417D"/>
    <w:rsid w:val="736C3FBB"/>
    <w:rsid w:val="73A85DC8"/>
    <w:rsid w:val="73C32C41"/>
    <w:rsid w:val="74573DE9"/>
    <w:rsid w:val="749900DE"/>
    <w:rsid w:val="74D53B99"/>
    <w:rsid w:val="75343CD7"/>
    <w:rsid w:val="753A7704"/>
    <w:rsid w:val="754C1AAF"/>
    <w:rsid w:val="7595502C"/>
    <w:rsid w:val="76233569"/>
    <w:rsid w:val="76766A5E"/>
    <w:rsid w:val="76991F3B"/>
    <w:rsid w:val="769C097E"/>
    <w:rsid w:val="76D8737F"/>
    <w:rsid w:val="76E279D7"/>
    <w:rsid w:val="772E0626"/>
    <w:rsid w:val="7752184A"/>
    <w:rsid w:val="7754709D"/>
    <w:rsid w:val="776E285A"/>
    <w:rsid w:val="779E3171"/>
    <w:rsid w:val="77B02D8D"/>
    <w:rsid w:val="77C0093D"/>
    <w:rsid w:val="77C90B9C"/>
    <w:rsid w:val="77D01B4F"/>
    <w:rsid w:val="78384CBC"/>
    <w:rsid w:val="784258BF"/>
    <w:rsid w:val="78C72AB4"/>
    <w:rsid w:val="793758F2"/>
    <w:rsid w:val="79DC6C3F"/>
    <w:rsid w:val="79ED4DBE"/>
    <w:rsid w:val="7A250260"/>
    <w:rsid w:val="7A787ECB"/>
    <w:rsid w:val="7A8B51CB"/>
    <w:rsid w:val="7AB507FA"/>
    <w:rsid w:val="7AC634CB"/>
    <w:rsid w:val="7B92652A"/>
    <w:rsid w:val="7C3A7105"/>
    <w:rsid w:val="7C41564D"/>
    <w:rsid w:val="7C8E16C9"/>
    <w:rsid w:val="7CB561C0"/>
    <w:rsid w:val="7CCC277F"/>
    <w:rsid w:val="7CE3033A"/>
    <w:rsid w:val="7D0A2590"/>
    <w:rsid w:val="7D0E6DF4"/>
    <w:rsid w:val="7D54493D"/>
    <w:rsid w:val="7D550752"/>
    <w:rsid w:val="7D6A7A29"/>
    <w:rsid w:val="7DCC5A45"/>
    <w:rsid w:val="7DE81CD7"/>
    <w:rsid w:val="7E8B6D0C"/>
    <w:rsid w:val="7F234727"/>
    <w:rsid w:val="7F285EA4"/>
    <w:rsid w:val="7F787EDB"/>
    <w:rsid w:val="7FDD5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Yu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7">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8"/>
    <w:semiHidden/>
    <w:unhideWhenUsed/>
    <w:qFormat/>
    <w:uiPriority w:val="99"/>
    <w:rPr>
      <w:b/>
      <w:bCs/>
    </w:rPr>
  </w:style>
  <w:style w:type="paragraph" w:styleId="7">
    <w:name w:val="annotation text"/>
    <w:basedOn w:val="1"/>
    <w:link w:val="57"/>
    <w:semiHidden/>
    <w:unhideWhenUsed/>
    <w:qFormat/>
    <w:uiPriority w:val="99"/>
    <w:pPr>
      <w:spacing w:line="240" w:lineRule="auto"/>
    </w:pPr>
    <w:rPr>
      <w:szCs w:val="20"/>
    </w:rPr>
  </w:style>
  <w:style w:type="paragraph" w:styleId="8">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9">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3">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character" w:styleId="18">
    <w:name w:val="FollowedHyperlink"/>
    <w:basedOn w:val="17"/>
    <w:semiHidden/>
    <w:unhideWhenUsed/>
    <w:qFormat/>
    <w:uiPriority w:val="99"/>
    <w:rPr>
      <w:color w:val="954F72" w:themeColor="followedHyperlink"/>
      <w:u w:val="single"/>
      <w14:textFill>
        <w14:solidFill>
          <w14:schemeClr w14:val="folHlink"/>
        </w14:solidFill>
      </w14:textFill>
    </w:rPr>
  </w:style>
  <w:style w:type="character" w:styleId="19">
    <w:name w:val="Hyperlink"/>
    <w:basedOn w:val="17"/>
    <w:unhideWhenUsed/>
    <w:qFormat/>
    <w:uiPriority w:val="99"/>
    <w:rPr>
      <w:color w:val="0563C1" w:themeColor="hyperlink"/>
      <w:u w:val="single"/>
      <w14:textFill>
        <w14:solidFill>
          <w14:schemeClr w14:val="hlink"/>
        </w14:solidFill>
      </w14:textFill>
    </w:rPr>
  </w:style>
  <w:style w:type="character" w:styleId="20">
    <w:name w:val="annotation reference"/>
    <w:basedOn w:val="17"/>
    <w:semiHidden/>
    <w:unhideWhenUsed/>
    <w:qFormat/>
    <w:uiPriority w:val="99"/>
    <w:rPr>
      <w:sz w:val="16"/>
      <w:szCs w:val="16"/>
    </w:rPr>
  </w:style>
  <w:style w:type="table" w:styleId="22">
    <w:name w:val="Table Grid"/>
    <w:basedOn w:val="21"/>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Heading 2 Char"/>
    <w:basedOn w:val="17"/>
    <w:link w:val="3"/>
    <w:qFormat/>
    <w:uiPriority w:val="0"/>
    <w:rPr>
      <w:rFonts w:ascii="Arial" w:hAnsi="Arial" w:eastAsia="Times New Roman" w:cs="Times New Roman"/>
      <w:sz w:val="32"/>
      <w:szCs w:val="20"/>
      <w:lang w:val="en-GB"/>
    </w:rPr>
  </w:style>
  <w:style w:type="character" w:customStyle="1" w:styleId="24">
    <w:name w:val="Heading 1 Char"/>
    <w:basedOn w:val="17"/>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7"/>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7"/>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8"/>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7"/>
    <w:link w:val="8"/>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7"/>
    <w:semiHidden/>
    <w:unhideWhenUsed/>
    <w:qFormat/>
    <w:uiPriority w:val="99"/>
    <w:rPr>
      <w:color w:val="808080"/>
      <w:shd w:val="clear" w:color="auto" w:fill="E6E6E6"/>
    </w:rPr>
  </w:style>
  <w:style w:type="character" w:customStyle="1" w:styleId="42">
    <w:name w:val="Heading 4 Char"/>
    <w:basedOn w:val="17"/>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7"/>
    <w:link w:val="9"/>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7"/>
    <w:link w:val="13"/>
    <w:semiHidden/>
    <w:qFormat/>
    <w:locked/>
    <w:uiPriority w:val="0"/>
    <w:rPr>
      <w:rFonts w:ascii="Tms Rmn" w:hAnsi="Tms Rmn"/>
      <w:b/>
      <w:sz w:val="18"/>
    </w:rPr>
  </w:style>
  <w:style w:type="character" w:customStyle="1" w:styleId="53">
    <w:name w:val="Header Char1"/>
    <w:basedOn w:val="17"/>
    <w:semiHidden/>
    <w:qFormat/>
    <w:uiPriority w:val="99"/>
    <w:rPr>
      <w:rFonts w:ascii="Times New Roman" w:hAnsi="Times New Roman"/>
      <w:sz w:val="20"/>
    </w:rPr>
  </w:style>
  <w:style w:type="character" w:customStyle="1" w:styleId="54">
    <w:name w:val="Balloon Text Char"/>
    <w:basedOn w:val="17"/>
    <w:link w:val="12"/>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7"/>
    <w:link w:val="7"/>
    <w:semiHidden/>
    <w:qFormat/>
    <w:uiPriority w:val="99"/>
    <w:rPr>
      <w:rFonts w:ascii="Times New Roman" w:hAnsi="Times New Roman"/>
      <w:sz w:val="20"/>
      <w:szCs w:val="20"/>
    </w:rPr>
  </w:style>
  <w:style w:type="character" w:customStyle="1" w:styleId="58">
    <w:name w:val="Comment Subject Char"/>
    <w:basedOn w:val="57"/>
    <w:link w:val="6"/>
    <w:semiHidden/>
    <w:qFormat/>
    <w:uiPriority w:val="99"/>
    <w:rPr>
      <w:rFonts w:ascii="Times New Roman" w:hAnsi="Times New Roman"/>
      <w:b/>
      <w:bCs/>
      <w:sz w:val="20"/>
      <w:szCs w:val="20"/>
    </w:rPr>
  </w:style>
  <w:style w:type="paragraph" w:customStyle="1" w:styleId="59">
    <w:name w:val="3GPP Normal Text"/>
    <w:basedOn w:val="9"/>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1"/>
    <w:qFormat/>
    <w:uiPriority w:val="0"/>
  </w:style>
  <w:style w:type="paragraph" w:customStyle="1" w:styleId="6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877</Words>
  <Characters>5355</Characters>
  <Lines>44</Lines>
  <Paragraphs>12</Paragraphs>
  <TotalTime>0</TotalTime>
  <ScaleCrop>false</ScaleCrop>
  <LinksUpToDate>false</LinksUpToDate>
  <CharactersWithSpaces>6220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Richie Leo (ZTE)</cp:lastModifiedBy>
  <cp:lastPrinted>2019-04-29T06:52:00Z</cp:lastPrinted>
  <dcterms:modified xsi:type="dcterms:W3CDTF">2020-02-11T13:13:01Z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2052-10.8.2.7027</vt:lpwstr>
  </property>
</Properties>
</file>